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0C2A3" w14:textId="5B262DE5" w:rsidR="00055916" w:rsidRPr="00343D22" w:rsidRDefault="00055916" w:rsidP="00C87165">
      <w:pPr>
        <w:tabs>
          <w:tab w:val="left" w:pos="1540"/>
        </w:tabs>
        <w:spacing w:after="0" w:line="240" w:lineRule="auto"/>
        <w:contextualSpacing/>
        <w:rPr>
          <w:rFonts w:ascii="Open Sans" w:eastAsia="Arial" w:hAnsi="Open Sans" w:cs="Arial"/>
          <w:sz w:val="24"/>
          <w:szCs w:val="24"/>
        </w:rPr>
      </w:pPr>
      <w:r w:rsidRPr="00343D22">
        <w:rPr>
          <w:rFonts w:ascii="Open Sans" w:eastAsia="Arial" w:hAnsi="Open Sans" w:cs="Arial"/>
          <w:sz w:val="24"/>
          <w:szCs w:val="24"/>
        </w:rPr>
        <w:t>Name________________________________</w:t>
      </w:r>
      <w:r w:rsidRPr="00343D22">
        <w:rPr>
          <w:rFonts w:ascii="Open Sans" w:eastAsia="Arial" w:hAnsi="Open Sans" w:cs="Arial"/>
          <w:sz w:val="24"/>
          <w:szCs w:val="24"/>
        </w:rPr>
        <w:tab/>
        <w:t>Date__________________________</w:t>
      </w:r>
    </w:p>
    <w:p w14:paraId="0F858DF8" w14:textId="77777777" w:rsidR="00C87165" w:rsidRPr="00343D22" w:rsidRDefault="00C87165" w:rsidP="00C87165">
      <w:pPr>
        <w:ind w:right="20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52C0F8BA" w14:textId="35AA4CC6" w:rsidR="00BE6790" w:rsidRPr="00343D22" w:rsidRDefault="00D3294A" w:rsidP="00C87165">
      <w:pPr>
        <w:ind w:right="20"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343D22">
        <w:rPr>
          <w:rFonts w:ascii="Open Sans" w:eastAsia="Arial" w:hAnsi="Open Sans" w:cs="Arial"/>
          <w:b/>
          <w:bCs/>
          <w:sz w:val="24"/>
          <w:szCs w:val="24"/>
        </w:rPr>
        <w:t xml:space="preserve">Connect and Place a Hard Suction for Drafting </w:t>
      </w:r>
      <w:r w:rsidR="00BE6790" w:rsidRPr="00343D22">
        <w:rPr>
          <w:rFonts w:ascii="Open Sans" w:eastAsia="Arial" w:hAnsi="Open Sans" w:cs="Arial"/>
          <w:b/>
          <w:bCs/>
          <w:sz w:val="24"/>
          <w:szCs w:val="24"/>
        </w:rPr>
        <w:t>Checklist</w:t>
      </w:r>
    </w:p>
    <w:p w14:paraId="1BEA13D7" w14:textId="77777777" w:rsidR="00343D22" w:rsidRPr="00343D22" w:rsidRDefault="00343D22" w:rsidP="00343D22">
      <w:pPr>
        <w:spacing w:after="0" w:line="246" w:lineRule="auto"/>
        <w:ind w:left="100" w:right="360"/>
        <w:rPr>
          <w:rFonts w:ascii="Open Sans" w:eastAsia="Times New Roman" w:hAnsi="Open Sans" w:cs="Times New Roman"/>
          <w:sz w:val="24"/>
          <w:szCs w:val="24"/>
        </w:rPr>
      </w:pPr>
      <w:r w:rsidRPr="00343D22">
        <w:rPr>
          <w:rFonts w:ascii="Open Sans" w:eastAsia="Arial" w:hAnsi="Open Sans" w:cs="Arial"/>
          <w:sz w:val="24"/>
          <w:szCs w:val="24"/>
        </w:rPr>
        <w:t xml:space="preserve">Directions – Using the hydrant, hydrant tools, and hard suction supply hose you are given, correctly connect to the fire apparatus in preparation of drafting from a static water source. Complete this while wearing Personal Protective Equipment (PPE). You will begin on my instructions to start. The skill will end when you </w:t>
      </w:r>
      <w:proofErr w:type="gramStart"/>
      <w:r w:rsidRPr="00343D22">
        <w:rPr>
          <w:rFonts w:ascii="Open Sans" w:eastAsia="Arial" w:hAnsi="Open Sans" w:cs="Arial"/>
          <w:sz w:val="24"/>
          <w:szCs w:val="24"/>
        </w:rPr>
        <w:t>state</w:t>
      </w:r>
      <w:proofErr w:type="gramEnd"/>
      <w:r w:rsidRPr="00343D22">
        <w:rPr>
          <w:rFonts w:ascii="Open Sans" w:eastAsia="Arial" w:hAnsi="Open Sans" w:cs="Arial"/>
          <w:sz w:val="24"/>
          <w:szCs w:val="24"/>
        </w:rPr>
        <w:t xml:space="preserve"> to me that you have completed all of the identified steps. Do you understand these instructions?</w:t>
      </w:r>
    </w:p>
    <w:p w14:paraId="7989B649" w14:textId="77777777" w:rsidR="00C87165" w:rsidRPr="00343D22" w:rsidRDefault="00C87165" w:rsidP="00C87165">
      <w:pPr>
        <w:ind w:right="20"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5"/>
        <w:gridCol w:w="1595"/>
      </w:tblGrid>
      <w:tr w:rsidR="00C87165" w:rsidRPr="00343D22" w14:paraId="39081FD1" w14:textId="77777777" w:rsidTr="00240AD9">
        <w:trPr>
          <w:trHeight w:val="368"/>
        </w:trPr>
        <w:tc>
          <w:tcPr>
            <w:tcW w:w="8275" w:type="dxa"/>
            <w:shd w:val="clear" w:color="auto" w:fill="000000" w:themeFill="text1"/>
          </w:tcPr>
          <w:p w14:paraId="18ED7241" w14:textId="70F19F1C" w:rsidR="00C87165" w:rsidRPr="00343D22" w:rsidRDefault="00381FAD" w:rsidP="00240AD9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 w:rsidRPr="00343D22"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 xml:space="preserve">Performance </w:t>
            </w:r>
            <w:proofErr w:type="gramStart"/>
            <w:r w:rsidRPr="00343D22"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Objectives</w:t>
            </w:r>
            <w:proofErr w:type="gramEnd"/>
          </w:p>
        </w:tc>
        <w:tc>
          <w:tcPr>
            <w:tcW w:w="1595" w:type="dxa"/>
            <w:shd w:val="clear" w:color="auto" w:fill="000000" w:themeFill="text1"/>
          </w:tcPr>
          <w:p w14:paraId="6844F8C2" w14:textId="77777777" w:rsidR="00C87165" w:rsidRPr="00343D22" w:rsidRDefault="00C87165" w:rsidP="00240AD9">
            <w:pPr>
              <w:ind w:right="-119"/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</w:pPr>
            <w:r w:rsidRPr="00343D22">
              <w:rPr>
                <w:rFonts w:ascii="Open Sans" w:hAnsi="Open Sans"/>
                <w:b/>
                <w:color w:val="FFFFFF" w:themeColor="background1"/>
                <w:sz w:val="24"/>
                <w:szCs w:val="24"/>
              </w:rPr>
              <w:t>1 Pt. each</w:t>
            </w:r>
          </w:p>
        </w:tc>
      </w:tr>
      <w:tr w:rsidR="00C87165" w:rsidRPr="00343D22" w14:paraId="4BDE9399" w14:textId="77777777" w:rsidTr="00240AD9">
        <w:tc>
          <w:tcPr>
            <w:tcW w:w="8275" w:type="dxa"/>
          </w:tcPr>
          <w:p w14:paraId="07B959A4" w14:textId="0AF78806" w:rsidR="00C87165" w:rsidRPr="00343D22" w:rsidRDefault="00343D22" w:rsidP="00C87165">
            <w:pPr>
              <w:ind w:right="-119"/>
              <w:rPr>
                <w:rFonts w:ascii="Open Sans" w:hAnsi="Open Sans"/>
                <w:sz w:val="24"/>
                <w:szCs w:val="24"/>
              </w:rPr>
            </w:pPr>
            <w:r w:rsidRPr="00343D22">
              <w:rPr>
                <w:rFonts w:ascii="Open Sans" w:hAnsi="Open Sans"/>
                <w:sz w:val="24"/>
                <w:szCs w:val="24"/>
              </w:rPr>
              <w:t>Confirm with the company officer the command to connect the hose to the apparatus for drafting from a static water source</w:t>
            </w:r>
          </w:p>
        </w:tc>
        <w:tc>
          <w:tcPr>
            <w:tcW w:w="1595" w:type="dxa"/>
          </w:tcPr>
          <w:p w14:paraId="6CB08B58" w14:textId="77777777" w:rsidR="00C87165" w:rsidRPr="00343D22" w:rsidRDefault="00C87165" w:rsidP="00240AD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C87165" w:rsidRPr="00343D22" w14:paraId="6C3826BB" w14:textId="77777777" w:rsidTr="00240AD9">
        <w:trPr>
          <w:trHeight w:val="647"/>
        </w:trPr>
        <w:tc>
          <w:tcPr>
            <w:tcW w:w="8275" w:type="dxa"/>
          </w:tcPr>
          <w:p w14:paraId="34D12C53" w14:textId="4421EBE7" w:rsidR="00C87165" w:rsidRPr="00343D22" w:rsidRDefault="00343D22" w:rsidP="00C87165">
            <w:pPr>
              <w:ind w:right="-119"/>
              <w:rPr>
                <w:rFonts w:ascii="Open Sans" w:hAnsi="Open Sans"/>
                <w:sz w:val="24"/>
                <w:szCs w:val="24"/>
              </w:rPr>
            </w:pPr>
            <w:r w:rsidRPr="00343D22">
              <w:rPr>
                <w:rFonts w:ascii="Open Sans" w:hAnsi="Open Sans"/>
                <w:sz w:val="24"/>
                <w:szCs w:val="24"/>
              </w:rPr>
              <w:t xml:space="preserve">Check the </w:t>
            </w:r>
            <w:proofErr w:type="gramStart"/>
            <w:r w:rsidRPr="00343D22">
              <w:rPr>
                <w:rFonts w:ascii="Open Sans" w:hAnsi="Open Sans"/>
                <w:sz w:val="24"/>
                <w:szCs w:val="24"/>
              </w:rPr>
              <w:t>hard suction</w:t>
            </w:r>
            <w:proofErr w:type="gramEnd"/>
            <w:r w:rsidRPr="00343D22">
              <w:rPr>
                <w:rFonts w:ascii="Open Sans" w:hAnsi="Open Sans"/>
                <w:sz w:val="24"/>
                <w:szCs w:val="24"/>
              </w:rPr>
              <w:t xml:space="preserve"> couplings for dirt, debris, and worn gaskets that will impact an effective suction connection</w:t>
            </w:r>
          </w:p>
        </w:tc>
        <w:tc>
          <w:tcPr>
            <w:tcW w:w="1595" w:type="dxa"/>
          </w:tcPr>
          <w:p w14:paraId="579E3A87" w14:textId="77777777" w:rsidR="00C87165" w:rsidRPr="00343D22" w:rsidRDefault="00C87165" w:rsidP="00240AD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C87165" w:rsidRPr="00343D22" w14:paraId="6F53ED9B" w14:textId="77777777" w:rsidTr="00343D22">
        <w:trPr>
          <w:trHeight w:val="341"/>
        </w:trPr>
        <w:tc>
          <w:tcPr>
            <w:tcW w:w="8275" w:type="dxa"/>
          </w:tcPr>
          <w:p w14:paraId="4132BE08" w14:textId="12704BA8" w:rsidR="00C87165" w:rsidRPr="00343D22" w:rsidRDefault="00343D22" w:rsidP="00343D22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343D22">
              <w:rPr>
                <w:rFonts w:ascii="Open Sans" w:eastAsia="Arial" w:hAnsi="Open Sans" w:cs="Arial"/>
                <w:sz w:val="24"/>
                <w:szCs w:val="24"/>
              </w:rPr>
              <w:t>Connect the two sections of hard suction hose together</w:t>
            </w:r>
          </w:p>
        </w:tc>
        <w:tc>
          <w:tcPr>
            <w:tcW w:w="1595" w:type="dxa"/>
          </w:tcPr>
          <w:p w14:paraId="52B11A89" w14:textId="77777777" w:rsidR="00C87165" w:rsidRPr="00343D22" w:rsidRDefault="00C87165" w:rsidP="00240AD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C87165" w:rsidRPr="00343D22" w14:paraId="3229D3E2" w14:textId="77777777" w:rsidTr="00240AD9">
        <w:tc>
          <w:tcPr>
            <w:tcW w:w="8275" w:type="dxa"/>
          </w:tcPr>
          <w:p w14:paraId="01CF4C79" w14:textId="2DB23080" w:rsidR="00C87165" w:rsidRPr="00343D22" w:rsidRDefault="00343D22" w:rsidP="00C87165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343D22">
              <w:rPr>
                <w:rFonts w:ascii="Open Sans" w:eastAsia="Arial" w:hAnsi="Open Sans" w:cs="Arial"/>
                <w:sz w:val="24"/>
                <w:szCs w:val="24"/>
              </w:rPr>
              <w:t xml:space="preserve">Connect the strainer to the end of the </w:t>
            </w:r>
            <w:proofErr w:type="gramStart"/>
            <w:r w:rsidRPr="00343D22">
              <w:rPr>
                <w:rFonts w:ascii="Open Sans" w:eastAsia="Arial" w:hAnsi="Open Sans" w:cs="Arial"/>
                <w:sz w:val="24"/>
                <w:szCs w:val="24"/>
              </w:rPr>
              <w:t>hard suction</w:t>
            </w:r>
            <w:proofErr w:type="gramEnd"/>
            <w:r w:rsidRPr="00343D22">
              <w:rPr>
                <w:rFonts w:ascii="Open Sans" w:eastAsia="Arial" w:hAnsi="Open Sans" w:cs="Arial"/>
                <w:sz w:val="24"/>
                <w:szCs w:val="24"/>
              </w:rPr>
              <w:t xml:space="preserve"> assembly</w:t>
            </w:r>
          </w:p>
        </w:tc>
        <w:tc>
          <w:tcPr>
            <w:tcW w:w="1595" w:type="dxa"/>
          </w:tcPr>
          <w:p w14:paraId="08B5667F" w14:textId="77777777" w:rsidR="00C87165" w:rsidRPr="00343D22" w:rsidRDefault="00C87165" w:rsidP="00240AD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C87165" w:rsidRPr="00343D22" w14:paraId="73674AA0" w14:textId="77777777" w:rsidTr="00381FAD">
        <w:trPr>
          <w:trHeight w:val="323"/>
        </w:trPr>
        <w:tc>
          <w:tcPr>
            <w:tcW w:w="8275" w:type="dxa"/>
          </w:tcPr>
          <w:p w14:paraId="09B242FD" w14:textId="7AB1F6DD" w:rsidR="00C87165" w:rsidRPr="00343D22" w:rsidRDefault="00343D22" w:rsidP="00381FAD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343D22">
              <w:rPr>
                <w:rFonts w:ascii="Open Sans" w:eastAsia="Arial" w:hAnsi="Open Sans" w:cs="Arial"/>
                <w:sz w:val="24"/>
                <w:szCs w:val="24"/>
              </w:rPr>
              <w:t xml:space="preserve">Drop the strainer into the static water source, using a hose rope to </w:t>
            </w:r>
            <w:proofErr w:type="gramStart"/>
            <w:r w:rsidRPr="00343D22">
              <w:rPr>
                <w:rFonts w:ascii="Open Sans" w:eastAsia="Arial" w:hAnsi="Open Sans" w:cs="Arial"/>
                <w:sz w:val="24"/>
                <w:szCs w:val="24"/>
              </w:rPr>
              <w:t>maintain</w:t>
            </w:r>
            <w:proofErr w:type="gramEnd"/>
            <w:r w:rsidRPr="00343D22">
              <w:rPr>
                <w:rFonts w:ascii="Open Sans" w:eastAsia="Arial" w:hAnsi="Open Sans" w:cs="Arial"/>
                <w:sz w:val="24"/>
                <w:szCs w:val="24"/>
              </w:rPr>
              <w:t xml:space="preserve"> inches of clearance around the strainer</w:t>
            </w:r>
          </w:p>
        </w:tc>
        <w:tc>
          <w:tcPr>
            <w:tcW w:w="1595" w:type="dxa"/>
          </w:tcPr>
          <w:p w14:paraId="16C0897D" w14:textId="77777777" w:rsidR="00C87165" w:rsidRPr="00343D22" w:rsidRDefault="00C87165" w:rsidP="00240AD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C87165" w:rsidRPr="00343D22" w14:paraId="48CE1C82" w14:textId="77777777" w:rsidTr="00240AD9">
        <w:trPr>
          <w:trHeight w:val="251"/>
        </w:trPr>
        <w:tc>
          <w:tcPr>
            <w:tcW w:w="8275" w:type="dxa"/>
          </w:tcPr>
          <w:p w14:paraId="5CA6C5E3" w14:textId="02DBBCB4" w:rsidR="00C87165" w:rsidRPr="00343D22" w:rsidRDefault="00343D22" w:rsidP="00381FAD">
            <w:pPr>
              <w:rPr>
                <w:rFonts w:ascii="Open Sans" w:eastAsia="Times New Roman" w:hAnsi="Open Sans" w:cs="Times New Roman"/>
                <w:sz w:val="24"/>
                <w:szCs w:val="24"/>
              </w:rPr>
            </w:pPr>
            <w:r w:rsidRPr="00343D22">
              <w:rPr>
                <w:rFonts w:ascii="Open Sans" w:eastAsia="Arial" w:hAnsi="Open Sans" w:cs="Arial"/>
                <w:sz w:val="24"/>
                <w:szCs w:val="24"/>
              </w:rPr>
              <w:t>Remove the pump intake cap and the keystone intake valve from the intake (if applicable)</w:t>
            </w:r>
          </w:p>
        </w:tc>
        <w:tc>
          <w:tcPr>
            <w:tcW w:w="1595" w:type="dxa"/>
          </w:tcPr>
          <w:p w14:paraId="05026AF6" w14:textId="77777777" w:rsidR="00C87165" w:rsidRPr="00343D22" w:rsidRDefault="00C87165" w:rsidP="00240AD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C87165" w:rsidRPr="00343D22" w14:paraId="1268C3FB" w14:textId="77777777" w:rsidTr="00240AD9">
        <w:trPr>
          <w:trHeight w:val="251"/>
        </w:trPr>
        <w:tc>
          <w:tcPr>
            <w:tcW w:w="8275" w:type="dxa"/>
          </w:tcPr>
          <w:p w14:paraId="26288976" w14:textId="65C7CA20" w:rsidR="00C87165" w:rsidRPr="00343D22" w:rsidRDefault="00343D22" w:rsidP="00381FAD">
            <w:pPr>
              <w:rPr>
                <w:rFonts w:ascii="Open Sans" w:hAnsi="Open Sans"/>
                <w:sz w:val="24"/>
                <w:szCs w:val="24"/>
              </w:rPr>
            </w:pPr>
            <w:r w:rsidRPr="00343D22">
              <w:rPr>
                <w:rFonts w:ascii="Open Sans" w:eastAsia="Arial" w:hAnsi="Open Sans" w:cs="Arial"/>
                <w:sz w:val="24"/>
                <w:szCs w:val="24"/>
              </w:rPr>
              <w:t xml:space="preserve">Connect the </w:t>
            </w:r>
            <w:proofErr w:type="gramStart"/>
            <w:r w:rsidRPr="00343D22">
              <w:rPr>
                <w:rFonts w:ascii="Open Sans" w:eastAsia="Arial" w:hAnsi="Open Sans" w:cs="Arial"/>
                <w:sz w:val="24"/>
                <w:szCs w:val="24"/>
              </w:rPr>
              <w:t>hard suction</w:t>
            </w:r>
            <w:proofErr w:type="gramEnd"/>
            <w:r w:rsidRPr="00343D22">
              <w:rPr>
                <w:rFonts w:ascii="Open Sans" w:eastAsia="Arial" w:hAnsi="Open Sans" w:cs="Arial"/>
                <w:sz w:val="24"/>
                <w:szCs w:val="24"/>
              </w:rPr>
              <w:t xml:space="preserve"> intake hose to the pump intake, hand tightening in a clockwise dir</w:t>
            </w:r>
            <w:bookmarkStart w:id="0" w:name="_GoBack"/>
            <w:bookmarkEnd w:id="0"/>
            <w:r w:rsidRPr="00343D22">
              <w:rPr>
                <w:rFonts w:ascii="Open Sans" w:eastAsia="Arial" w:hAnsi="Open Sans" w:cs="Arial"/>
                <w:sz w:val="24"/>
                <w:szCs w:val="24"/>
              </w:rPr>
              <w:t>ection</w:t>
            </w:r>
          </w:p>
        </w:tc>
        <w:tc>
          <w:tcPr>
            <w:tcW w:w="1595" w:type="dxa"/>
          </w:tcPr>
          <w:p w14:paraId="7C2E2C5C" w14:textId="77777777" w:rsidR="00C87165" w:rsidRPr="00343D22" w:rsidRDefault="00C87165" w:rsidP="00240AD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C87165" w:rsidRPr="00343D22" w14:paraId="15359D28" w14:textId="77777777" w:rsidTr="00240AD9">
        <w:trPr>
          <w:trHeight w:val="251"/>
        </w:trPr>
        <w:tc>
          <w:tcPr>
            <w:tcW w:w="8275" w:type="dxa"/>
          </w:tcPr>
          <w:p w14:paraId="58331FB7" w14:textId="1C07EFA9" w:rsidR="00C87165" w:rsidRPr="00343D22" w:rsidRDefault="00343D22" w:rsidP="00381FAD">
            <w:pPr>
              <w:spacing w:line="274" w:lineRule="auto"/>
              <w:ind w:right="1780"/>
              <w:rPr>
                <w:rFonts w:ascii="Open Sans" w:hAnsi="Open Sans"/>
                <w:sz w:val="24"/>
                <w:szCs w:val="24"/>
              </w:rPr>
            </w:pPr>
            <w:r w:rsidRPr="00343D22">
              <w:rPr>
                <w:rFonts w:ascii="Open Sans" w:eastAsia="Arial" w:hAnsi="Open Sans" w:cs="Arial"/>
                <w:sz w:val="24"/>
                <w:szCs w:val="24"/>
              </w:rPr>
              <w:t>Tie the strainer support rope to the pumper or another stationary object</w:t>
            </w:r>
          </w:p>
        </w:tc>
        <w:tc>
          <w:tcPr>
            <w:tcW w:w="1595" w:type="dxa"/>
          </w:tcPr>
          <w:p w14:paraId="3C549DC7" w14:textId="77777777" w:rsidR="00C87165" w:rsidRPr="00343D22" w:rsidRDefault="00C87165" w:rsidP="00240AD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C87165" w:rsidRPr="00343D22" w14:paraId="795E1460" w14:textId="77777777" w:rsidTr="00240AD9">
        <w:trPr>
          <w:trHeight w:val="251"/>
        </w:trPr>
        <w:tc>
          <w:tcPr>
            <w:tcW w:w="8275" w:type="dxa"/>
          </w:tcPr>
          <w:p w14:paraId="44DAD468" w14:textId="3669638E" w:rsidR="00C87165" w:rsidRPr="00343D22" w:rsidRDefault="00343D22" w:rsidP="00381FAD">
            <w:pPr>
              <w:ind w:right="-119"/>
              <w:rPr>
                <w:rFonts w:ascii="Open Sans" w:hAnsi="Open Sans"/>
                <w:sz w:val="24"/>
                <w:szCs w:val="24"/>
              </w:rPr>
            </w:pPr>
            <w:r w:rsidRPr="00343D22">
              <w:rPr>
                <w:rFonts w:ascii="Open Sans" w:hAnsi="Open Sans"/>
                <w:sz w:val="24"/>
                <w:szCs w:val="24"/>
              </w:rPr>
              <w:t>Dismantle the drafting equipment upon completion of the connection</w:t>
            </w:r>
          </w:p>
        </w:tc>
        <w:tc>
          <w:tcPr>
            <w:tcW w:w="1595" w:type="dxa"/>
          </w:tcPr>
          <w:p w14:paraId="1A13818F" w14:textId="77777777" w:rsidR="00C87165" w:rsidRPr="00343D22" w:rsidRDefault="00C87165" w:rsidP="00240AD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C87165" w:rsidRPr="00343D22" w14:paraId="39FA0703" w14:textId="77777777" w:rsidTr="00240AD9">
        <w:trPr>
          <w:trHeight w:val="251"/>
        </w:trPr>
        <w:tc>
          <w:tcPr>
            <w:tcW w:w="8275" w:type="dxa"/>
          </w:tcPr>
          <w:p w14:paraId="2940A761" w14:textId="32CF96FA" w:rsidR="00C87165" w:rsidRPr="00343D22" w:rsidRDefault="00343D22" w:rsidP="00381FAD">
            <w:pPr>
              <w:tabs>
                <w:tab w:val="left" w:pos="2100"/>
              </w:tabs>
              <w:ind w:right="-119"/>
              <w:rPr>
                <w:rFonts w:ascii="Open Sans" w:hAnsi="Open Sans"/>
                <w:sz w:val="24"/>
                <w:szCs w:val="24"/>
              </w:rPr>
            </w:pPr>
            <w:r w:rsidRPr="00343D22">
              <w:rPr>
                <w:rFonts w:ascii="Open Sans" w:hAnsi="Open Sans"/>
                <w:sz w:val="24"/>
                <w:szCs w:val="24"/>
              </w:rPr>
              <w:t>Return the equipment to its proper storage compartments on the apparatus</w:t>
            </w:r>
          </w:p>
        </w:tc>
        <w:tc>
          <w:tcPr>
            <w:tcW w:w="1595" w:type="dxa"/>
          </w:tcPr>
          <w:p w14:paraId="3061FB7F" w14:textId="77777777" w:rsidR="00C87165" w:rsidRPr="00343D22" w:rsidRDefault="00C87165" w:rsidP="00240AD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  <w:tr w:rsidR="00C87165" w:rsidRPr="00343D22" w14:paraId="7659D383" w14:textId="77777777" w:rsidTr="00240AD9">
        <w:trPr>
          <w:trHeight w:val="251"/>
        </w:trPr>
        <w:tc>
          <w:tcPr>
            <w:tcW w:w="8275" w:type="dxa"/>
            <w:shd w:val="clear" w:color="auto" w:fill="7F7F7F" w:themeFill="text1" w:themeFillTint="80"/>
          </w:tcPr>
          <w:p w14:paraId="4E8BE124" w14:textId="7D5BBF22" w:rsidR="00C87165" w:rsidRPr="00343D22" w:rsidRDefault="00C87165" w:rsidP="00240AD9">
            <w:pPr>
              <w:ind w:right="-119"/>
              <w:rPr>
                <w:rFonts w:ascii="Open Sans" w:hAnsi="Open Sans"/>
                <w:b/>
                <w:sz w:val="24"/>
                <w:szCs w:val="24"/>
              </w:rPr>
            </w:pPr>
            <w:r w:rsidRPr="00343D22">
              <w:rPr>
                <w:rFonts w:ascii="Open Sans" w:hAnsi="Open Sans"/>
                <w:b/>
                <w:sz w:val="24"/>
                <w:szCs w:val="24"/>
              </w:rPr>
              <w:t>Total points possible – 10</w:t>
            </w:r>
          </w:p>
        </w:tc>
        <w:tc>
          <w:tcPr>
            <w:tcW w:w="1595" w:type="dxa"/>
            <w:shd w:val="clear" w:color="auto" w:fill="7F7F7F" w:themeFill="text1" w:themeFillTint="80"/>
          </w:tcPr>
          <w:p w14:paraId="6748FE8A" w14:textId="77777777" w:rsidR="00C87165" w:rsidRPr="00343D22" w:rsidRDefault="00C87165" w:rsidP="00240AD9">
            <w:pPr>
              <w:ind w:right="-119"/>
              <w:rPr>
                <w:rFonts w:ascii="Open Sans" w:hAnsi="Open Sans"/>
                <w:sz w:val="24"/>
                <w:szCs w:val="24"/>
              </w:rPr>
            </w:pPr>
          </w:p>
        </w:tc>
      </w:tr>
    </w:tbl>
    <w:p w14:paraId="3AD38FAB" w14:textId="07D25B8F" w:rsidR="00C87165" w:rsidRPr="00343D22" w:rsidRDefault="00C87165" w:rsidP="00C87165">
      <w:pPr>
        <w:ind w:right="20"/>
        <w:rPr>
          <w:rFonts w:ascii="Open Sans" w:eastAsia="Arial" w:hAnsi="Open Sans" w:cs="Arial"/>
          <w:b/>
          <w:bCs/>
          <w:sz w:val="24"/>
          <w:szCs w:val="24"/>
        </w:rPr>
      </w:pPr>
    </w:p>
    <w:p w14:paraId="3E2CC420" w14:textId="77777777" w:rsidR="00C87165" w:rsidRPr="00343D22" w:rsidRDefault="00C87165" w:rsidP="00C87165">
      <w:pPr>
        <w:spacing w:line="200" w:lineRule="exact"/>
        <w:rPr>
          <w:rFonts w:ascii="Open Sans" w:hAnsi="Open Sans"/>
          <w:sz w:val="24"/>
          <w:szCs w:val="24"/>
        </w:rPr>
      </w:pPr>
    </w:p>
    <w:p w14:paraId="75A89EE9" w14:textId="77777777" w:rsidR="00381FAD" w:rsidRPr="00343D22" w:rsidRDefault="00381FAD" w:rsidP="00C87165">
      <w:pPr>
        <w:spacing w:line="200" w:lineRule="exact"/>
        <w:rPr>
          <w:rFonts w:ascii="Open Sans" w:hAnsi="Open Sans"/>
          <w:sz w:val="24"/>
          <w:szCs w:val="24"/>
        </w:rPr>
      </w:pPr>
    </w:p>
    <w:p w14:paraId="566CC322" w14:textId="77777777" w:rsidR="00C87165" w:rsidRPr="00343D22" w:rsidRDefault="00C87165" w:rsidP="00C87165">
      <w:pPr>
        <w:spacing w:line="202" w:lineRule="exact"/>
        <w:rPr>
          <w:rFonts w:ascii="Open Sans" w:hAnsi="Open Sans"/>
          <w:sz w:val="24"/>
          <w:szCs w:val="24"/>
        </w:rPr>
      </w:pPr>
      <w:r w:rsidRPr="00343D22">
        <w:rPr>
          <w:rFonts w:ascii="Open Sans" w:eastAsia="Arial" w:hAnsi="Open Sans" w:cs="Arial"/>
          <w:sz w:val="24"/>
          <w:szCs w:val="24"/>
        </w:rPr>
        <w:t>_____________________________________________________________________________________</w:t>
      </w:r>
    </w:p>
    <w:p w14:paraId="2586E271" w14:textId="77777777" w:rsidR="00C87165" w:rsidRPr="00343D22" w:rsidRDefault="00C87165" w:rsidP="00C87165">
      <w:pPr>
        <w:tabs>
          <w:tab w:val="left" w:pos="5840"/>
        </w:tabs>
        <w:rPr>
          <w:rFonts w:ascii="Open Sans" w:hAnsi="Open Sans"/>
          <w:sz w:val="24"/>
          <w:szCs w:val="24"/>
        </w:rPr>
      </w:pPr>
      <w:r w:rsidRPr="00343D22">
        <w:rPr>
          <w:rFonts w:ascii="Open Sans" w:eastAsia="Arial" w:hAnsi="Open Sans" w:cs="Arial"/>
          <w:b/>
          <w:bCs/>
          <w:sz w:val="24"/>
          <w:szCs w:val="24"/>
        </w:rPr>
        <w:t>Instructor’s Signature</w:t>
      </w:r>
      <w:r w:rsidRPr="00343D22">
        <w:rPr>
          <w:rFonts w:ascii="Open Sans" w:hAnsi="Open Sans"/>
          <w:sz w:val="24"/>
          <w:szCs w:val="24"/>
        </w:rPr>
        <w:tab/>
      </w:r>
      <w:r w:rsidRPr="00343D22">
        <w:rPr>
          <w:rFonts w:ascii="Open Sans" w:eastAsia="Arial" w:hAnsi="Open Sans" w:cs="Arial"/>
          <w:b/>
          <w:bCs/>
          <w:sz w:val="24"/>
          <w:szCs w:val="24"/>
        </w:rPr>
        <w:t>Date</w:t>
      </w:r>
    </w:p>
    <w:p w14:paraId="592C7244" w14:textId="75CFC29C" w:rsidR="009F42F1" w:rsidRPr="00343D22" w:rsidRDefault="009F42F1" w:rsidP="00C87165">
      <w:pPr>
        <w:tabs>
          <w:tab w:val="left" w:pos="198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</w:p>
    <w:sectPr w:rsidR="009F42F1" w:rsidRPr="00343D22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0F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0F9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F70F92" w:rsidP="00E7721B">
            <w:pPr>
              <w:pStyle w:val="Footer"/>
              <w:jc w:val="center"/>
            </w:pPr>
          </w:p>
        </w:sdtContent>
      </w:sdt>
    </w:sdtContent>
  </w:sdt>
  <w:p w14:paraId="681B5F41" w14:textId="24A8B4AF" w:rsidR="006105AC" w:rsidRDefault="00E7721B" w:rsidP="00C87165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F70F92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F70F92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7ACDB3" w14:textId="77777777" w:rsidR="00F51DB7" w:rsidRDefault="00F51DB7"/>
  <w:p w14:paraId="066A2F05" w14:textId="77777777" w:rsidR="006105AC" w:rsidRDefault="006105AC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6BFC"/>
    <w:multiLevelType w:val="hybridMultilevel"/>
    <w:tmpl w:val="83C0C7B0"/>
    <w:lvl w:ilvl="0" w:tplc="F20C3BF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360" w:hanging="360"/>
      </w:pPr>
    </w:lvl>
    <w:lvl w:ilvl="2" w:tplc="DD00E1CA">
      <w:numFmt w:val="decimal"/>
      <w:lvlText w:val=""/>
      <w:lvlJc w:val="left"/>
    </w:lvl>
    <w:lvl w:ilvl="3" w:tplc="AEE40460">
      <w:numFmt w:val="decimal"/>
      <w:lvlText w:val=""/>
      <w:lvlJc w:val="left"/>
    </w:lvl>
    <w:lvl w:ilvl="4" w:tplc="43E8AA46">
      <w:numFmt w:val="decimal"/>
      <w:lvlText w:val=""/>
      <w:lvlJc w:val="left"/>
    </w:lvl>
    <w:lvl w:ilvl="5" w:tplc="C366CF14">
      <w:numFmt w:val="decimal"/>
      <w:lvlText w:val=""/>
      <w:lvlJc w:val="left"/>
    </w:lvl>
    <w:lvl w:ilvl="6" w:tplc="C060D012">
      <w:numFmt w:val="decimal"/>
      <w:lvlText w:val=""/>
      <w:lvlJc w:val="left"/>
    </w:lvl>
    <w:lvl w:ilvl="7" w:tplc="F31C1B76">
      <w:numFmt w:val="decimal"/>
      <w:lvlText w:val=""/>
      <w:lvlJc w:val="left"/>
    </w:lvl>
    <w:lvl w:ilvl="8" w:tplc="C55844D8">
      <w:numFmt w:val="decimal"/>
      <w:lvlText w:val=""/>
      <w:lvlJc w:val="left"/>
    </w:lvl>
  </w:abstractNum>
  <w:abstractNum w:abstractNumId="1">
    <w:nsid w:val="00007F96"/>
    <w:multiLevelType w:val="hybridMultilevel"/>
    <w:tmpl w:val="8214C86A"/>
    <w:lvl w:ilvl="0" w:tplc="FE9AEBFE">
      <w:start w:val="6"/>
      <w:numFmt w:val="decimal"/>
      <w:lvlText w:val="%1."/>
      <w:lvlJc w:val="left"/>
    </w:lvl>
    <w:lvl w:ilvl="1" w:tplc="2D48A18A">
      <w:start w:val="1"/>
      <w:numFmt w:val="lowerLetter"/>
      <w:lvlText w:val="%2."/>
      <w:lvlJc w:val="left"/>
    </w:lvl>
    <w:lvl w:ilvl="2" w:tplc="B3844682">
      <w:numFmt w:val="decimal"/>
      <w:lvlText w:val=""/>
      <w:lvlJc w:val="left"/>
    </w:lvl>
    <w:lvl w:ilvl="3" w:tplc="4C084F4C">
      <w:numFmt w:val="decimal"/>
      <w:lvlText w:val=""/>
      <w:lvlJc w:val="left"/>
    </w:lvl>
    <w:lvl w:ilvl="4" w:tplc="A692E006">
      <w:numFmt w:val="decimal"/>
      <w:lvlText w:val=""/>
      <w:lvlJc w:val="left"/>
    </w:lvl>
    <w:lvl w:ilvl="5" w:tplc="F5229964">
      <w:numFmt w:val="decimal"/>
      <w:lvlText w:val=""/>
      <w:lvlJc w:val="left"/>
    </w:lvl>
    <w:lvl w:ilvl="6" w:tplc="33103F78">
      <w:numFmt w:val="decimal"/>
      <w:lvlText w:val=""/>
      <w:lvlJc w:val="left"/>
    </w:lvl>
    <w:lvl w:ilvl="7" w:tplc="35EAACC0">
      <w:numFmt w:val="decimal"/>
      <w:lvlText w:val=""/>
      <w:lvlJc w:val="left"/>
    </w:lvl>
    <w:lvl w:ilvl="8" w:tplc="CCBAB10C">
      <w:numFmt w:val="decimal"/>
      <w:lvlText w:val=""/>
      <w:lvlJc w:val="left"/>
    </w:lvl>
  </w:abstractNum>
  <w:abstractNum w:abstractNumId="2">
    <w:nsid w:val="21A45578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982240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0F21D3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17219B1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2FC3540"/>
    <w:multiLevelType w:val="hybridMultilevel"/>
    <w:tmpl w:val="E56C25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623B3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7C0B1F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EC550AF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1324F91"/>
    <w:multiLevelType w:val="hybridMultilevel"/>
    <w:tmpl w:val="D1342D5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12925AA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B044882"/>
    <w:multiLevelType w:val="hybridMultilevel"/>
    <w:tmpl w:val="A2227E3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76916329"/>
    <w:multiLevelType w:val="hybridMultilevel"/>
    <w:tmpl w:val="BB425D5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2"/>
  </w:num>
  <w:num w:numId="5">
    <w:abstractNumId w:val="5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11"/>
  </w:num>
  <w:num w:numId="12">
    <w:abstractNumId w:val="13"/>
  </w:num>
  <w:num w:numId="13">
    <w:abstractNumId w:val="2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916"/>
    <w:rsid w:val="00055EE1"/>
    <w:rsid w:val="00086C2A"/>
    <w:rsid w:val="001448A4"/>
    <w:rsid w:val="00144BB4"/>
    <w:rsid w:val="001E7AA7"/>
    <w:rsid w:val="00204CD4"/>
    <w:rsid w:val="002F7801"/>
    <w:rsid w:val="00343D22"/>
    <w:rsid w:val="00381FAD"/>
    <w:rsid w:val="003B4392"/>
    <w:rsid w:val="003C3E68"/>
    <w:rsid w:val="003D49FF"/>
    <w:rsid w:val="00416BF9"/>
    <w:rsid w:val="00465A98"/>
    <w:rsid w:val="004C7226"/>
    <w:rsid w:val="005052E4"/>
    <w:rsid w:val="00524DD0"/>
    <w:rsid w:val="005E696E"/>
    <w:rsid w:val="006105AC"/>
    <w:rsid w:val="006143D4"/>
    <w:rsid w:val="00676A46"/>
    <w:rsid w:val="006A1E92"/>
    <w:rsid w:val="00703108"/>
    <w:rsid w:val="007218E1"/>
    <w:rsid w:val="007A1993"/>
    <w:rsid w:val="007F4150"/>
    <w:rsid w:val="0084406A"/>
    <w:rsid w:val="00846CF2"/>
    <w:rsid w:val="008A4D3D"/>
    <w:rsid w:val="00903BDB"/>
    <w:rsid w:val="009606FD"/>
    <w:rsid w:val="009E0B38"/>
    <w:rsid w:val="009F42F1"/>
    <w:rsid w:val="009F7E4A"/>
    <w:rsid w:val="00A41432"/>
    <w:rsid w:val="00AA02D5"/>
    <w:rsid w:val="00AD2CEF"/>
    <w:rsid w:val="00B0214B"/>
    <w:rsid w:val="00B643B3"/>
    <w:rsid w:val="00B96799"/>
    <w:rsid w:val="00BA376D"/>
    <w:rsid w:val="00BB66C7"/>
    <w:rsid w:val="00BE6790"/>
    <w:rsid w:val="00C1126E"/>
    <w:rsid w:val="00C16070"/>
    <w:rsid w:val="00C80364"/>
    <w:rsid w:val="00C87165"/>
    <w:rsid w:val="00D3294A"/>
    <w:rsid w:val="00DB4E85"/>
    <w:rsid w:val="00DE3A22"/>
    <w:rsid w:val="00E7721B"/>
    <w:rsid w:val="00E935D4"/>
    <w:rsid w:val="00EA412D"/>
    <w:rsid w:val="00EC2133"/>
    <w:rsid w:val="00EC6EB6"/>
    <w:rsid w:val="00ED0B37"/>
    <w:rsid w:val="00ED1021"/>
    <w:rsid w:val="00F122EB"/>
    <w:rsid w:val="00F37B39"/>
    <w:rsid w:val="00F45E83"/>
    <w:rsid w:val="00F51DB7"/>
    <w:rsid w:val="00F70F92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3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05d88611-e516-4d1a-b12e-39107e78b3d0"/>
    <ds:schemaRef ds:uri="http://purl.org/dc/elements/1.1/"/>
    <ds:schemaRef ds:uri="http://purl.org/dc/terms/"/>
    <ds:schemaRef ds:uri="http://www.w3.org/XML/1998/namespace"/>
    <ds:schemaRef ds:uri="56ea17bb-c96d-4826-b465-01eec0dd23dd"/>
    <ds:schemaRef ds:uri="http://schemas.microsoft.com/sharepoint/v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242</Words>
  <Characters>1385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4</cp:revision>
  <dcterms:created xsi:type="dcterms:W3CDTF">2017-09-11T19:12:00Z</dcterms:created>
  <dcterms:modified xsi:type="dcterms:W3CDTF">2017-09-12T13:22:00Z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