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75D3" w14:textId="77777777" w:rsidR="003753F7" w:rsidRPr="00FD31CC" w:rsidRDefault="003753F7" w:rsidP="003753F7">
      <w:pPr>
        <w:tabs>
          <w:tab w:val="left" w:pos="4800"/>
        </w:tabs>
        <w:spacing w:after="0" w:line="240" w:lineRule="auto"/>
        <w:ind w:left="100"/>
        <w:rPr>
          <w:rFonts w:ascii="Open Sans" w:eastAsia="Times New Roman" w:hAnsi="Open Sans" w:cs="Times New Roman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Name: _________________________</w:t>
      </w:r>
      <w:r w:rsidRPr="00FD31CC">
        <w:rPr>
          <w:rFonts w:ascii="Open Sans" w:eastAsia="Times New Roman" w:hAnsi="Open Sans" w:cs="Times New Roman"/>
          <w:sz w:val="24"/>
          <w:szCs w:val="24"/>
        </w:rPr>
        <w:tab/>
      </w:r>
      <w:r w:rsidRPr="00FD31CC">
        <w:rPr>
          <w:rFonts w:ascii="Open Sans" w:eastAsia="Arial" w:hAnsi="Open Sans" w:cs="Arial"/>
          <w:sz w:val="24"/>
          <w:szCs w:val="24"/>
        </w:rPr>
        <w:t>Date: __________________________</w:t>
      </w:r>
    </w:p>
    <w:p w14:paraId="7B70EBDA" w14:textId="77777777" w:rsidR="003753F7" w:rsidRPr="00FD31CC" w:rsidRDefault="003753F7" w:rsidP="003753F7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p w14:paraId="4261B401" w14:textId="77777777" w:rsidR="00FD31CC" w:rsidRDefault="00FD31CC" w:rsidP="00FD31CC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FD31CC">
        <w:rPr>
          <w:rFonts w:ascii="Open Sans" w:eastAsia="Arial" w:hAnsi="Open Sans" w:cs="Arial"/>
          <w:b/>
          <w:bCs/>
          <w:sz w:val="24"/>
          <w:szCs w:val="24"/>
        </w:rPr>
        <w:t>Pretrial and Courtroom Procedures Key Terms Quiz</w:t>
      </w:r>
    </w:p>
    <w:p w14:paraId="26D6183C" w14:textId="77777777" w:rsidR="00FD31CC" w:rsidRPr="00FD31CC" w:rsidRDefault="00FD31CC" w:rsidP="00FD31CC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39436AA6" w14:textId="77777777" w:rsidR="00FD31CC" w:rsidRPr="00FD31CC" w:rsidRDefault="00FD31CC" w:rsidP="00FD31CC">
      <w:pPr>
        <w:spacing w:after="0" w:line="12" w:lineRule="exact"/>
        <w:rPr>
          <w:rFonts w:ascii="Open Sans" w:eastAsia="Times New Roman" w:hAnsi="Open Sans" w:cs="Times New Roman"/>
          <w:sz w:val="24"/>
          <w:szCs w:val="24"/>
        </w:rPr>
      </w:pPr>
    </w:p>
    <w:p w14:paraId="6A5F2570" w14:textId="77777777" w:rsidR="00FD31CC" w:rsidRPr="00FD31CC" w:rsidRDefault="00FD31CC" w:rsidP="00FD31CC">
      <w:pPr>
        <w:spacing w:after="0" w:line="235" w:lineRule="auto"/>
        <w:ind w:right="300"/>
        <w:rPr>
          <w:rFonts w:ascii="Open Sans" w:eastAsia="Times New Roman" w:hAnsi="Open Sans" w:cs="Times New Roman"/>
          <w:sz w:val="24"/>
          <w:szCs w:val="24"/>
        </w:rPr>
      </w:pPr>
      <w:r w:rsidRPr="00FD31CC">
        <w:rPr>
          <w:rFonts w:ascii="Open Sans" w:eastAsia="Arial" w:hAnsi="Open Sans" w:cs="Arial"/>
          <w:b/>
          <w:bCs/>
          <w:sz w:val="24"/>
          <w:szCs w:val="24"/>
        </w:rPr>
        <w:t xml:space="preserve">Directions: </w:t>
      </w:r>
      <w:r w:rsidRPr="00FD31CC">
        <w:rPr>
          <w:rFonts w:ascii="Open Sans" w:eastAsia="Arial" w:hAnsi="Open Sans" w:cs="Arial"/>
          <w:sz w:val="24"/>
          <w:szCs w:val="24"/>
        </w:rPr>
        <w:t>Write the correct term under its definition. You may use the word bank on the last</w:t>
      </w:r>
      <w:r w:rsidRPr="00FD31CC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FD31CC">
        <w:rPr>
          <w:rFonts w:ascii="Open Sans" w:eastAsia="Arial" w:hAnsi="Open Sans" w:cs="Arial"/>
          <w:sz w:val="24"/>
          <w:szCs w:val="24"/>
        </w:rPr>
        <w:t>page to assist you. You will not use all of the words, and no words are used more than once.</w:t>
      </w:r>
    </w:p>
    <w:p w14:paraId="5F2C304C" w14:textId="77777777" w:rsidR="00FD31CC" w:rsidRPr="00FD31CC" w:rsidRDefault="00FD31CC" w:rsidP="00FD31CC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3D45C20E" w14:textId="77777777" w:rsidR="00FD31CC" w:rsidRPr="00FD31CC" w:rsidRDefault="00FD31CC" w:rsidP="00FD31CC">
      <w:pPr>
        <w:tabs>
          <w:tab w:val="left" w:pos="720"/>
        </w:tabs>
        <w:spacing w:after="0" w:line="235" w:lineRule="auto"/>
        <w:ind w:right="1020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1. A closed proceeding used to establish probable cause; this procedure is used to determine probable cause in Texas</w:t>
      </w:r>
    </w:p>
    <w:p w14:paraId="383262E3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0008631A" w14:textId="77777777" w:rsidR="00FD31CC" w:rsidRPr="00FD31CC" w:rsidRDefault="00FD31CC" w:rsidP="00FD31CC">
      <w:pPr>
        <w:spacing w:after="0" w:line="364" w:lineRule="exact"/>
        <w:rPr>
          <w:rFonts w:ascii="Open Sans" w:eastAsia="Arial" w:hAnsi="Open Sans" w:cs="Arial"/>
          <w:sz w:val="24"/>
          <w:szCs w:val="24"/>
        </w:rPr>
      </w:pPr>
    </w:p>
    <w:p w14:paraId="5CCE9E9B" w14:textId="77777777" w:rsidR="00FD31CC" w:rsidRPr="00FD31CC" w:rsidRDefault="00FD31CC" w:rsidP="00FD31CC">
      <w:pPr>
        <w:tabs>
          <w:tab w:val="left" w:pos="720"/>
        </w:tabs>
        <w:spacing w:after="0" w:line="235" w:lineRule="auto"/>
        <w:ind w:right="220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2. A formal document issued by a judge in a preliminary hearing that charges an individual with a crime</w:t>
      </w:r>
    </w:p>
    <w:p w14:paraId="7DA7890E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1F41E961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3EA2FB7D" w14:textId="77777777" w:rsidR="00FD31CC" w:rsidRPr="00FD31CC" w:rsidRDefault="00FD31CC" w:rsidP="00FD31CC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3. A decision to release the defendant that is made by the judge</w:t>
      </w:r>
    </w:p>
    <w:p w14:paraId="0D96CEAB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D832AF1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5C1361ED" w14:textId="77777777" w:rsidR="00FD31CC" w:rsidRPr="00FD31CC" w:rsidRDefault="00FD31CC" w:rsidP="00FD31CC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4. An open proceeding used to establish probable cause; evidence can be challenged</w:t>
      </w:r>
    </w:p>
    <w:p w14:paraId="6EA09D08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22B5373E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1D14F867" w14:textId="77777777" w:rsidR="00FD31CC" w:rsidRPr="00FD31CC" w:rsidRDefault="00FD31CC" w:rsidP="00FD31CC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5. A formal document issued by a grand jury that charges an individual with a crime</w:t>
      </w:r>
    </w:p>
    <w:p w14:paraId="488A47B5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7BEDBEBF" w14:textId="77777777" w:rsidR="00FD31CC" w:rsidRPr="00FD31CC" w:rsidRDefault="00FD31CC" w:rsidP="00FD31CC">
      <w:pPr>
        <w:spacing w:after="0" w:line="362" w:lineRule="exact"/>
        <w:rPr>
          <w:rFonts w:ascii="Open Sans" w:eastAsia="Arial" w:hAnsi="Open Sans" w:cs="Arial"/>
          <w:sz w:val="24"/>
          <w:szCs w:val="24"/>
        </w:rPr>
      </w:pPr>
    </w:p>
    <w:p w14:paraId="6ABB96FA" w14:textId="77777777" w:rsidR="00FD31CC" w:rsidRPr="00FD31CC" w:rsidRDefault="00FD31CC" w:rsidP="00FD31CC">
      <w:pPr>
        <w:tabs>
          <w:tab w:val="left" w:pos="720"/>
        </w:tabs>
        <w:spacing w:after="0" w:line="235" w:lineRule="auto"/>
        <w:ind w:right="480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6. A financial deposit made with a bondsman to ensure that the defendant will appear in court if released during the pretrial phase</w:t>
      </w:r>
    </w:p>
    <w:p w14:paraId="399BDCBF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2B7062C1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11895803" w14:textId="77777777" w:rsidR="00FD31CC" w:rsidRPr="00FD31CC" w:rsidRDefault="00FD31CC" w:rsidP="00FD31CC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7. The pretrial proceedings for juveniles</w:t>
      </w:r>
    </w:p>
    <w:p w14:paraId="5D023305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386C2F0B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295585E0" w14:textId="77777777" w:rsidR="00FD31CC" w:rsidRPr="00FD31CC" w:rsidRDefault="00FD31CC" w:rsidP="00FD31CC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8. A deal made between the prosecutor and the defense that allows the accused to receive</w:t>
      </w:r>
    </w:p>
    <w:p w14:paraId="50FDA3C9" w14:textId="77777777" w:rsidR="00FD31CC" w:rsidRPr="00FD31CC" w:rsidRDefault="00FD31CC" w:rsidP="00FD31CC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“concessions” for a plea of guilt</w:t>
      </w:r>
    </w:p>
    <w:p w14:paraId="2D8145D0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36016B3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2853BE93" w14:textId="77777777" w:rsidR="00FD31CC" w:rsidRPr="00FD31CC" w:rsidRDefault="00FD31CC" w:rsidP="00FD31CC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9. An application to the court for a ruling</w:t>
      </w:r>
    </w:p>
    <w:p w14:paraId="2FC2D64F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0A4646C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1DAD6744" w14:textId="77777777" w:rsidR="00FD31CC" w:rsidRPr="00FD31CC" w:rsidRDefault="00FD31CC" w:rsidP="00FD31CC">
      <w:p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10. An application to the court to “throw out” evidence that does not meet the standard</w:t>
      </w:r>
    </w:p>
    <w:p w14:paraId="205F61FD" w14:textId="77777777" w:rsidR="00FD31CC" w:rsidRPr="00FD31CC" w:rsidRDefault="00FD31CC" w:rsidP="00FD31CC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63EE8ED" w14:textId="77777777" w:rsidR="00FD31CC" w:rsidRPr="00FD31CC" w:rsidRDefault="00FD31CC" w:rsidP="00FD31CC">
      <w:pPr>
        <w:spacing w:after="0" w:line="271" w:lineRule="exact"/>
        <w:rPr>
          <w:rFonts w:ascii="Open Sans" w:eastAsia="Times New Roman" w:hAnsi="Open Sans" w:cs="Times New Roman"/>
          <w:sz w:val="24"/>
          <w:szCs w:val="24"/>
        </w:rPr>
      </w:pPr>
      <w:bookmarkStart w:id="0" w:name="page12"/>
      <w:bookmarkEnd w:id="0"/>
    </w:p>
    <w:p w14:paraId="367A808C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lastRenderedPageBreak/>
        <w:t xml:space="preserve"> Means to “say the truth”</w:t>
      </w:r>
    </w:p>
    <w:p w14:paraId="14A25A65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33729EDF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4F45A41B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 xml:space="preserve"> It is also used to “educate the jury”</w:t>
      </w:r>
    </w:p>
    <w:p w14:paraId="3DB58A82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788F69E0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30DDAF9C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The prosecution calls all of its witnesses to provide evidence</w:t>
      </w:r>
    </w:p>
    <w:p w14:paraId="43A6C99D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709172FC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16F51D6B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The defense has an opportunity to question the prosecution’s witnesses</w:t>
      </w:r>
    </w:p>
    <w:p w14:paraId="54764CB0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968EC54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293F3E0A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The accused claims that he or she did not commit the crime</w:t>
      </w:r>
    </w:p>
    <w:p w14:paraId="7A3BD235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3FC2D85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5C6B214E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The accused committed the crime, but his or her actions were justified</w:t>
      </w:r>
    </w:p>
    <w:p w14:paraId="14E98CF3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ED0F10F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10BCC1CA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The accused committed the offense, but cannot be held responsible</w:t>
      </w:r>
    </w:p>
    <w:p w14:paraId="34632718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ADF8CD9" w14:textId="77777777" w:rsidR="00FD31CC" w:rsidRPr="00FD31CC" w:rsidRDefault="00FD31CC" w:rsidP="00FD31CC">
      <w:pPr>
        <w:spacing w:after="0" w:line="363" w:lineRule="exact"/>
        <w:rPr>
          <w:rFonts w:ascii="Open Sans" w:eastAsia="Arial" w:hAnsi="Open Sans" w:cs="Arial"/>
          <w:sz w:val="24"/>
          <w:szCs w:val="24"/>
        </w:rPr>
      </w:pPr>
    </w:p>
    <w:p w14:paraId="4D2B4576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35" w:lineRule="auto"/>
        <w:ind w:right="520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The prosecution is allowed to present witnesses to refute testimony presented by the defense witnesses during the defense direct examination</w:t>
      </w:r>
    </w:p>
    <w:p w14:paraId="10149789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01062A2E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648CDE28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This is an opportunity for both sides to argue the facts of the case</w:t>
      </w:r>
    </w:p>
    <w:p w14:paraId="0B338E43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3E5443B" w14:textId="77777777" w:rsidR="00FD31CC" w:rsidRPr="00FD31CC" w:rsidRDefault="00FD31CC" w:rsidP="00FD31CC">
      <w:pPr>
        <w:spacing w:after="0" w:line="352" w:lineRule="exact"/>
        <w:rPr>
          <w:rFonts w:ascii="Open Sans" w:eastAsia="Arial" w:hAnsi="Open Sans" w:cs="Arial"/>
          <w:sz w:val="24"/>
          <w:szCs w:val="24"/>
        </w:rPr>
      </w:pPr>
    </w:p>
    <w:p w14:paraId="1D776580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The trial phase at a juvenile trial</w:t>
      </w:r>
    </w:p>
    <w:p w14:paraId="087D9FB8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664FC81" w14:textId="77777777" w:rsidR="00FD31CC" w:rsidRPr="00FD31CC" w:rsidRDefault="00FD31CC" w:rsidP="00FD31CC">
      <w:pPr>
        <w:spacing w:after="0" w:line="363" w:lineRule="exact"/>
        <w:rPr>
          <w:rFonts w:ascii="Open Sans" w:eastAsia="Arial" w:hAnsi="Open Sans" w:cs="Arial"/>
          <w:sz w:val="24"/>
          <w:szCs w:val="24"/>
        </w:rPr>
      </w:pPr>
    </w:p>
    <w:p w14:paraId="7B37D693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35" w:lineRule="auto"/>
        <w:ind w:right="900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The circumstances presented at the sentencing hearing that have the potential to decrease the punishment a person receives for the crime</w:t>
      </w:r>
    </w:p>
    <w:p w14:paraId="282FACF4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480AE7AE" w14:textId="77777777" w:rsidR="00FD31CC" w:rsidRPr="00FD31CC" w:rsidRDefault="00FD31CC" w:rsidP="00FD31CC">
      <w:pPr>
        <w:spacing w:after="0" w:line="363" w:lineRule="exact"/>
        <w:rPr>
          <w:rFonts w:ascii="Open Sans" w:eastAsia="Arial" w:hAnsi="Open Sans" w:cs="Arial"/>
          <w:sz w:val="24"/>
          <w:szCs w:val="24"/>
        </w:rPr>
      </w:pPr>
    </w:p>
    <w:p w14:paraId="6566CC49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35" w:lineRule="auto"/>
        <w:ind w:right="340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The circumstances presented at the sentencing hearing that have potential to increase the punishment a person receives for the crime</w:t>
      </w:r>
    </w:p>
    <w:p w14:paraId="33B7F0B3" w14:textId="77777777" w:rsidR="00FD31CC" w:rsidRPr="00FD31CC" w:rsidRDefault="00FD31CC" w:rsidP="00FD31CC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3299D73F" w14:textId="77777777" w:rsidR="00FD31CC" w:rsidRPr="00FD31CC" w:rsidRDefault="00FD31CC" w:rsidP="00FD31CC">
      <w:pPr>
        <w:spacing w:after="0" w:line="355" w:lineRule="exact"/>
        <w:rPr>
          <w:rFonts w:ascii="Open Sans" w:eastAsia="Arial" w:hAnsi="Open Sans" w:cs="Arial"/>
          <w:sz w:val="24"/>
          <w:szCs w:val="24"/>
        </w:rPr>
      </w:pPr>
    </w:p>
    <w:p w14:paraId="52E36C05" w14:textId="77777777" w:rsidR="00FD31CC" w:rsidRPr="00FD31CC" w:rsidRDefault="00FD31CC" w:rsidP="00FD31CC">
      <w:pPr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D31CC">
        <w:rPr>
          <w:rFonts w:ascii="Open Sans" w:eastAsia="Arial" w:hAnsi="Open Sans" w:cs="Arial"/>
          <w:sz w:val="24"/>
          <w:szCs w:val="24"/>
        </w:rPr>
        <w:t>A petition to the court to “throw out” evidence that is damaging to the case</w:t>
      </w:r>
    </w:p>
    <w:p w14:paraId="742B7E15" w14:textId="77777777" w:rsidR="00E84D2C" w:rsidRDefault="00E84D2C" w:rsidP="00FD31CC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AECA332" w14:textId="77777777" w:rsidR="001053A8" w:rsidRDefault="001053A8" w:rsidP="00FD31CC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29B66DA8" w14:textId="77777777" w:rsidR="001053A8" w:rsidRDefault="001053A8" w:rsidP="00FD31CC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699A258" w14:textId="77777777" w:rsidR="001053A8" w:rsidRDefault="001053A8" w:rsidP="00FD31CC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940"/>
        <w:gridCol w:w="2340"/>
      </w:tblGrid>
      <w:tr w:rsidR="001053A8" w:rsidRPr="001053A8" w14:paraId="2F4D625D" w14:textId="77777777" w:rsidTr="007903C4">
        <w:trPr>
          <w:trHeight w:val="322"/>
        </w:trPr>
        <w:tc>
          <w:tcPr>
            <w:tcW w:w="3240" w:type="dxa"/>
            <w:vAlign w:val="bottom"/>
          </w:tcPr>
          <w:p w14:paraId="352395F8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14:paraId="0E40BEB8" w14:textId="77777777" w:rsidR="001053A8" w:rsidRPr="001053A8" w:rsidRDefault="001053A8" w:rsidP="001053A8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34813D35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1053A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Word Bank</w:t>
            </w:r>
          </w:p>
        </w:tc>
        <w:tc>
          <w:tcPr>
            <w:tcW w:w="2340" w:type="dxa"/>
            <w:vAlign w:val="bottom"/>
          </w:tcPr>
          <w:p w14:paraId="5D15FB0F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3A8" w:rsidRPr="001053A8" w14:paraId="7766DD85" w14:textId="77777777" w:rsidTr="007903C4">
        <w:trPr>
          <w:trHeight w:val="551"/>
        </w:trPr>
        <w:tc>
          <w:tcPr>
            <w:tcW w:w="3240" w:type="dxa"/>
            <w:vAlign w:val="bottom"/>
          </w:tcPr>
          <w:p w14:paraId="46C3638D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Misdemeanor</w:t>
            </w:r>
          </w:p>
        </w:tc>
        <w:tc>
          <w:tcPr>
            <w:tcW w:w="2940" w:type="dxa"/>
            <w:vAlign w:val="bottom"/>
          </w:tcPr>
          <w:p w14:paraId="50CEE2ED" w14:textId="77777777" w:rsidR="001053A8" w:rsidRPr="001053A8" w:rsidRDefault="001053A8" w:rsidP="00105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Arraignment</w:t>
            </w:r>
          </w:p>
        </w:tc>
        <w:tc>
          <w:tcPr>
            <w:tcW w:w="2340" w:type="dxa"/>
            <w:vAlign w:val="bottom"/>
          </w:tcPr>
          <w:p w14:paraId="2BE47B9C" w14:textId="77777777" w:rsidR="001053A8" w:rsidRPr="001053A8" w:rsidRDefault="001053A8" w:rsidP="001053A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Indictment</w:t>
            </w:r>
          </w:p>
        </w:tc>
      </w:tr>
      <w:tr w:rsidR="001053A8" w:rsidRPr="001053A8" w14:paraId="7532E089" w14:textId="77777777" w:rsidTr="007903C4">
        <w:trPr>
          <w:trHeight w:val="276"/>
        </w:trPr>
        <w:tc>
          <w:tcPr>
            <w:tcW w:w="3240" w:type="dxa"/>
            <w:vAlign w:val="bottom"/>
          </w:tcPr>
          <w:p w14:paraId="404D2CF4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Motion</w:t>
            </w:r>
          </w:p>
        </w:tc>
        <w:tc>
          <w:tcPr>
            <w:tcW w:w="2940" w:type="dxa"/>
            <w:vAlign w:val="bottom"/>
          </w:tcPr>
          <w:p w14:paraId="6BC26D5F" w14:textId="77777777" w:rsidR="001053A8" w:rsidRPr="001053A8" w:rsidRDefault="001053A8" w:rsidP="00105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Insanity</w:t>
            </w:r>
          </w:p>
        </w:tc>
        <w:tc>
          <w:tcPr>
            <w:tcW w:w="2340" w:type="dxa"/>
            <w:vAlign w:val="bottom"/>
          </w:tcPr>
          <w:p w14:paraId="1CEAC276" w14:textId="77777777" w:rsidR="001053A8" w:rsidRPr="001053A8" w:rsidRDefault="001053A8" w:rsidP="001053A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Plea bargain</w:t>
            </w:r>
          </w:p>
        </w:tc>
      </w:tr>
      <w:tr w:rsidR="001053A8" w:rsidRPr="001053A8" w14:paraId="0C3D8AFD" w14:textId="77777777" w:rsidTr="007903C4">
        <w:trPr>
          <w:trHeight w:val="276"/>
        </w:trPr>
        <w:tc>
          <w:tcPr>
            <w:tcW w:w="3240" w:type="dxa"/>
            <w:vAlign w:val="bottom"/>
          </w:tcPr>
          <w:p w14:paraId="3BDCE666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Aggravating circumstances</w:t>
            </w:r>
          </w:p>
        </w:tc>
        <w:tc>
          <w:tcPr>
            <w:tcW w:w="2940" w:type="dxa"/>
            <w:vAlign w:val="bottom"/>
          </w:tcPr>
          <w:p w14:paraId="247FAFFF" w14:textId="77777777" w:rsidR="001053A8" w:rsidRPr="001053A8" w:rsidRDefault="001053A8" w:rsidP="00105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Bail</w:t>
            </w:r>
          </w:p>
        </w:tc>
        <w:tc>
          <w:tcPr>
            <w:tcW w:w="2340" w:type="dxa"/>
            <w:vAlign w:val="bottom"/>
          </w:tcPr>
          <w:p w14:paraId="518F946A" w14:textId="77777777" w:rsidR="001053A8" w:rsidRPr="001053A8" w:rsidRDefault="001053A8" w:rsidP="001053A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Rebuttal</w:t>
            </w:r>
          </w:p>
        </w:tc>
      </w:tr>
      <w:tr w:rsidR="001053A8" w:rsidRPr="001053A8" w14:paraId="1A055CC2" w14:textId="77777777" w:rsidTr="007903C4">
        <w:trPr>
          <w:trHeight w:val="276"/>
        </w:trPr>
        <w:tc>
          <w:tcPr>
            <w:tcW w:w="3240" w:type="dxa"/>
            <w:vAlign w:val="bottom"/>
          </w:tcPr>
          <w:p w14:paraId="3009D5A4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Motion to dismiss</w:t>
            </w:r>
          </w:p>
        </w:tc>
        <w:tc>
          <w:tcPr>
            <w:tcW w:w="2940" w:type="dxa"/>
            <w:vAlign w:val="bottom"/>
          </w:tcPr>
          <w:p w14:paraId="0455C43B" w14:textId="77777777" w:rsidR="001053A8" w:rsidRPr="001053A8" w:rsidRDefault="001053A8" w:rsidP="00105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Preliminary hearing</w:t>
            </w:r>
          </w:p>
        </w:tc>
        <w:tc>
          <w:tcPr>
            <w:tcW w:w="2340" w:type="dxa"/>
            <w:vAlign w:val="bottom"/>
          </w:tcPr>
          <w:p w14:paraId="6955C221" w14:textId="77777777" w:rsidR="001053A8" w:rsidRPr="001053A8" w:rsidRDefault="001053A8" w:rsidP="001053A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Cross-examination</w:t>
            </w:r>
          </w:p>
        </w:tc>
      </w:tr>
      <w:tr w:rsidR="001053A8" w:rsidRPr="001053A8" w14:paraId="6E7C0BB0" w14:textId="77777777" w:rsidTr="007903C4">
        <w:trPr>
          <w:trHeight w:val="276"/>
        </w:trPr>
        <w:tc>
          <w:tcPr>
            <w:tcW w:w="3240" w:type="dxa"/>
            <w:vAlign w:val="bottom"/>
          </w:tcPr>
          <w:p w14:paraId="5AC4401D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2940" w:type="dxa"/>
            <w:vAlign w:val="bottom"/>
          </w:tcPr>
          <w:p w14:paraId="35DC76DF" w14:textId="77777777" w:rsidR="001053A8" w:rsidRPr="001053A8" w:rsidRDefault="001053A8" w:rsidP="00105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Parole</w:t>
            </w:r>
          </w:p>
        </w:tc>
        <w:tc>
          <w:tcPr>
            <w:tcW w:w="2340" w:type="dxa"/>
            <w:vAlign w:val="bottom"/>
          </w:tcPr>
          <w:p w14:paraId="65C916C9" w14:textId="77777777" w:rsidR="001053A8" w:rsidRPr="001053A8" w:rsidRDefault="001053A8" w:rsidP="001053A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Closing arguments</w:t>
            </w:r>
          </w:p>
        </w:tc>
      </w:tr>
      <w:tr w:rsidR="001053A8" w:rsidRPr="001053A8" w14:paraId="50053CE3" w14:textId="77777777" w:rsidTr="007903C4">
        <w:trPr>
          <w:trHeight w:val="276"/>
        </w:trPr>
        <w:tc>
          <w:tcPr>
            <w:tcW w:w="3240" w:type="dxa"/>
            <w:vAlign w:val="bottom"/>
          </w:tcPr>
          <w:p w14:paraId="27D943A5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Alibi</w:t>
            </w:r>
          </w:p>
        </w:tc>
        <w:tc>
          <w:tcPr>
            <w:tcW w:w="2940" w:type="dxa"/>
            <w:vAlign w:val="bottom"/>
          </w:tcPr>
          <w:p w14:paraId="5504C936" w14:textId="77777777" w:rsidR="001053A8" w:rsidRPr="001053A8" w:rsidRDefault="001053A8" w:rsidP="00105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Adjudication hearing</w:t>
            </w:r>
          </w:p>
        </w:tc>
        <w:tc>
          <w:tcPr>
            <w:tcW w:w="2340" w:type="dxa"/>
            <w:vAlign w:val="bottom"/>
          </w:tcPr>
          <w:p w14:paraId="33A80644" w14:textId="77777777" w:rsidR="001053A8" w:rsidRPr="001053A8" w:rsidRDefault="001053A8" w:rsidP="001053A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w w:val="99"/>
                <w:sz w:val="24"/>
                <w:szCs w:val="24"/>
              </w:rPr>
              <w:t>Opening statement</w:t>
            </w:r>
          </w:p>
        </w:tc>
      </w:tr>
      <w:tr w:rsidR="001053A8" w:rsidRPr="001053A8" w14:paraId="6DAB1073" w14:textId="77777777" w:rsidTr="007903C4">
        <w:trPr>
          <w:trHeight w:val="276"/>
        </w:trPr>
        <w:tc>
          <w:tcPr>
            <w:tcW w:w="3240" w:type="dxa"/>
            <w:vAlign w:val="bottom"/>
          </w:tcPr>
          <w:p w14:paraId="73FDB6AA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Court reporter</w:t>
            </w:r>
          </w:p>
        </w:tc>
        <w:tc>
          <w:tcPr>
            <w:tcW w:w="2940" w:type="dxa"/>
            <w:vAlign w:val="bottom"/>
          </w:tcPr>
          <w:p w14:paraId="67558EAB" w14:textId="77777777" w:rsidR="001053A8" w:rsidRPr="001053A8" w:rsidRDefault="001053A8" w:rsidP="00105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Pretrial release</w:t>
            </w:r>
          </w:p>
        </w:tc>
        <w:tc>
          <w:tcPr>
            <w:tcW w:w="2340" w:type="dxa"/>
            <w:vAlign w:val="bottom"/>
          </w:tcPr>
          <w:p w14:paraId="584F1A26" w14:textId="77777777" w:rsidR="001053A8" w:rsidRPr="001053A8" w:rsidRDefault="001053A8" w:rsidP="001053A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Bail bond</w:t>
            </w:r>
          </w:p>
        </w:tc>
      </w:tr>
      <w:tr w:rsidR="001053A8" w:rsidRPr="001053A8" w14:paraId="621458E9" w14:textId="77777777" w:rsidTr="007903C4">
        <w:trPr>
          <w:trHeight w:val="276"/>
        </w:trPr>
        <w:tc>
          <w:tcPr>
            <w:tcW w:w="3240" w:type="dxa"/>
            <w:vAlign w:val="bottom"/>
          </w:tcPr>
          <w:p w14:paraId="56A2F427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Mitigating circumstances</w:t>
            </w:r>
          </w:p>
        </w:tc>
        <w:tc>
          <w:tcPr>
            <w:tcW w:w="2940" w:type="dxa"/>
            <w:vAlign w:val="bottom"/>
          </w:tcPr>
          <w:p w14:paraId="447D570E" w14:textId="77777777" w:rsidR="001053A8" w:rsidRPr="001053A8" w:rsidRDefault="001053A8" w:rsidP="00105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Motion to suppress</w:t>
            </w:r>
          </w:p>
        </w:tc>
        <w:tc>
          <w:tcPr>
            <w:tcW w:w="2340" w:type="dxa"/>
            <w:vAlign w:val="bottom"/>
          </w:tcPr>
          <w:p w14:paraId="17819A97" w14:textId="77777777" w:rsidR="001053A8" w:rsidRPr="001053A8" w:rsidRDefault="001053A8" w:rsidP="001053A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Grand jury</w:t>
            </w:r>
          </w:p>
        </w:tc>
      </w:tr>
      <w:tr w:rsidR="001053A8" w:rsidRPr="001053A8" w14:paraId="341E909B" w14:textId="77777777" w:rsidTr="007903C4">
        <w:trPr>
          <w:trHeight w:val="277"/>
        </w:trPr>
        <w:tc>
          <w:tcPr>
            <w:tcW w:w="3240" w:type="dxa"/>
            <w:vAlign w:val="bottom"/>
          </w:tcPr>
          <w:p w14:paraId="41A3DC7A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Self defense</w:t>
            </w:r>
          </w:p>
        </w:tc>
        <w:tc>
          <w:tcPr>
            <w:tcW w:w="2940" w:type="dxa"/>
            <w:vAlign w:val="bottom"/>
          </w:tcPr>
          <w:p w14:paraId="464E1B7F" w14:textId="77777777" w:rsidR="001053A8" w:rsidRPr="001053A8" w:rsidRDefault="001053A8" w:rsidP="00105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Voir dire</w:t>
            </w:r>
          </w:p>
        </w:tc>
        <w:tc>
          <w:tcPr>
            <w:tcW w:w="2340" w:type="dxa"/>
            <w:vAlign w:val="bottom"/>
          </w:tcPr>
          <w:p w14:paraId="3D81B58C" w14:textId="77777777" w:rsidR="001053A8" w:rsidRPr="001053A8" w:rsidRDefault="001053A8" w:rsidP="001053A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Direct examination</w:t>
            </w:r>
          </w:p>
        </w:tc>
      </w:tr>
      <w:tr w:rsidR="001053A8" w:rsidRPr="001053A8" w14:paraId="10AE55BF" w14:textId="77777777" w:rsidTr="007903C4">
        <w:trPr>
          <w:trHeight w:val="276"/>
        </w:trPr>
        <w:tc>
          <w:tcPr>
            <w:tcW w:w="3240" w:type="dxa"/>
            <w:vAlign w:val="bottom"/>
          </w:tcPr>
          <w:p w14:paraId="139E4E7F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A8">
              <w:rPr>
                <w:rFonts w:ascii="Arial" w:eastAsia="Arial" w:hAnsi="Arial" w:cs="Arial"/>
                <w:sz w:val="24"/>
                <w:szCs w:val="24"/>
              </w:rPr>
              <w:t>Not Guilty</w:t>
            </w:r>
          </w:p>
        </w:tc>
        <w:tc>
          <w:tcPr>
            <w:tcW w:w="2940" w:type="dxa"/>
            <w:vAlign w:val="bottom"/>
          </w:tcPr>
          <w:p w14:paraId="3B361CDA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25FDB24F" w14:textId="77777777" w:rsidR="001053A8" w:rsidRPr="001053A8" w:rsidRDefault="001053A8" w:rsidP="0010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C3A16" w14:textId="77777777" w:rsidR="001053A8" w:rsidRPr="001053A8" w:rsidRDefault="001053A8" w:rsidP="001053A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EF5DB6A" w14:textId="77777777" w:rsidR="001053A8" w:rsidRPr="00FD31CC" w:rsidRDefault="001053A8" w:rsidP="00FD31CC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sectPr w:rsidR="001053A8" w:rsidRPr="00FD31CC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A06A1" w14:textId="77777777" w:rsidR="00EB2142" w:rsidRDefault="00EB2142" w:rsidP="00E7721B">
      <w:pPr>
        <w:spacing w:after="0" w:line="240" w:lineRule="auto"/>
      </w:pPr>
      <w:r>
        <w:separator/>
      </w:r>
    </w:p>
  </w:endnote>
  <w:endnote w:type="continuationSeparator" w:id="0">
    <w:p w14:paraId="5D584C53" w14:textId="77777777" w:rsidR="00EB2142" w:rsidRDefault="00EB214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053A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053A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B228" w14:textId="77777777" w:rsidR="00EB2142" w:rsidRDefault="00EB2142" w:rsidP="00E7721B">
      <w:pPr>
        <w:spacing w:after="0" w:line="240" w:lineRule="auto"/>
      </w:pPr>
      <w:r>
        <w:separator/>
      </w:r>
    </w:p>
  </w:footnote>
  <w:footnote w:type="continuationSeparator" w:id="0">
    <w:p w14:paraId="4F312B0B" w14:textId="77777777" w:rsidR="00EB2142" w:rsidRDefault="00EB214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01F6BBEE"/>
    <w:lvl w:ilvl="0" w:tplc="27E6245E">
      <w:start w:val="11"/>
      <w:numFmt w:val="decimal"/>
      <w:lvlText w:val="%1."/>
      <w:lvlJc w:val="left"/>
    </w:lvl>
    <w:lvl w:ilvl="1" w:tplc="86A29E50">
      <w:numFmt w:val="decimal"/>
      <w:lvlText w:val=""/>
      <w:lvlJc w:val="left"/>
    </w:lvl>
    <w:lvl w:ilvl="2" w:tplc="CF128D0C">
      <w:numFmt w:val="decimal"/>
      <w:lvlText w:val=""/>
      <w:lvlJc w:val="left"/>
    </w:lvl>
    <w:lvl w:ilvl="3" w:tplc="83E0C308">
      <w:numFmt w:val="decimal"/>
      <w:lvlText w:val=""/>
      <w:lvlJc w:val="left"/>
    </w:lvl>
    <w:lvl w:ilvl="4" w:tplc="9468E0B2">
      <w:numFmt w:val="decimal"/>
      <w:lvlText w:val=""/>
      <w:lvlJc w:val="left"/>
    </w:lvl>
    <w:lvl w:ilvl="5" w:tplc="BED80DBA">
      <w:numFmt w:val="decimal"/>
      <w:lvlText w:val=""/>
      <w:lvlJc w:val="left"/>
    </w:lvl>
    <w:lvl w:ilvl="6" w:tplc="E300F8A0">
      <w:numFmt w:val="decimal"/>
      <w:lvlText w:val=""/>
      <w:lvlJc w:val="left"/>
    </w:lvl>
    <w:lvl w:ilvl="7" w:tplc="BB3802A0">
      <w:numFmt w:val="decimal"/>
      <w:lvlText w:val=""/>
      <w:lvlJc w:val="left"/>
    </w:lvl>
    <w:lvl w:ilvl="8" w:tplc="FA7E3D00">
      <w:numFmt w:val="decimal"/>
      <w:lvlText w:val=""/>
      <w:lvlJc w:val="left"/>
    </w:lvl>
  </w:abstractNum>
  <w:abstractNum w:abstractNumId="1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"/>
  </w:num>
  <w:num w:numId="5">
    <w:abstractNumId w:val="18"/>
  </w:num>
  <w:num w:numId="6">
    <w:abstractNumId w:val="13"/>
  </w:num>
  <w:num w:numId="7">
    <w:abstractNumId w:val="22"/>
  </w:num>
  <w:num w:numId="8">
    <w:abstractNumId w:val="11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  <w:num w:numId="16">
    <w:abstractNumId w:val="10"/>
  </w:num>
  <w:num w:numId="17">
    <w:abstractNumId w:val="21"/>
  </w:num>
  <w:num w:numId="18">
    <w:abstractNumId w:val="17"/>
  </w:num>
  <w:num w:numId="19">
    <w:abstractNumId w:val="8"/>
  </w:num>
  <w:num w:numId="20">
    <w:abstractNumId w:val="20"/>
  </w:num>
  <w:num w:numId="21">
    <w:abstractNumId w:val="6"/>
  </w:num>
  <w:num w:numId="22">
    <w:abstractNumId w:val="19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053A8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B2142"/>
    <w:rsid w:val="00EE149F"/>
    <w:rsid w:val="00EF0EFA"/>
    <w:rsid w:val="00F16613"/>
    <w:rsid w:val="00F20813"/>
    <w:rsid w:val="00F5725D"/>
    <w:rsid w:val="00F66F62"/>
    <w:rsid w:val="00FD31C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2017-10-03T14:36:00Z</dcterms:created>
  <dcterms:modified xsi:type="dcterms:W3CDTF">2017-10-03T14:37:00Z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